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41" w:rsidRPr="00FA3141" w:rsidRDefault="00FA3141" w:rsidP="00FA3141">
      <w:pPr>
        <w:spacing w:before="300" w:after="48"/>
        <w:outlineLvl w:val="1"/>
        <w:rPr>
          <w:rFonts w:ascii="Muli" w:eastAsia="Times New Roman" w:hAnsi="Muli" w:cs="Open Sans"/>
          <w:color w:val="000000"/>
          <w:spacing w:val="-15"/>
          <w:sz w:val="48"/>
          <w:szCs w:val="48"/>
          <w:lang w:eastAsia="en-GB"/>
        </w:rPr>
      </w:pPr>
      <w:r w:rsidRPr="00FA3141">
        <w:rPr>
          <w:rFonts w:ascii="Muli" w:eastAsia="Times New Roman" w:hAnsi="Muli" w:cs="Open Sans"/>
          <w:color w:val="000000"/>
          <w:spacing w:val="-15"/>
          <w:sz w:val="48"/>
          <w:szCs w:val="48"/>
          <w:lang w:eastAsia="en-GB"/>
        </w:rPr>
        <w:t>Client Success Stories</w:t>
      </w:r>
    </w:p>
    <w:p w:rsidR="00FA3141" w:rsidRPr="00FA3141" w:rsidRDefault="00FA3141" w:rsidP="00FA3141">
      <w:pPr>
        <w:spacing w:beforeAutospacing="1" w:after="48"/>
        <w:outlineLvl w:val="1"/>
        <w:rPr>
          <w:rFonts w:ascii="Muli" w:eastAsia="Times New Roman" w:hAnsi="Muli" w:cs="Open Sans"/>
          <w:color w:val="000000"/>
          <w:spacing w:val="-11"/>
          <w:sz w:val="48"/>
          <w:szCs w:val="48"/>
          <w:lang w:eastAsia="en-GB"/>
        </w:rPr>
      </w:pPr>
      <w:bookmarkStart w:id="0" w:name="_GoBack"/>
      <w:bookmarkEnd w:id="0"/>
      <w:proofErr w:type="spellStart"/>
      <w:r w:rsidRPr="00FA3141">
        <w:rPr>
          <w:rFonts w:ascii="Muli" w:eastAsia="Times New Roman" w:hAnsi="Muli" w:cs="Open Sans"/>
          <w:color w:val="000000"/>
          <w:spacing w:val="-11"/>
          <w:sz w:val="48"/>
          <w:szCs w:val="48"/>
          <w:lang w:eastAsia="en-GB"/>
        </w:rPr>
        <w:t>Landesbank</w:t>
      </w:r>
      <w:proofErr w:type="spellEnd"/>
      <w:r w:rsidRPr="00FA3141">
        <w:rPr>
          <w:rFonts w:ascii="Muli" w:eastAsia="Times New Roman" w:hAnsi="Muli" w:cs="Open Sans"/>
          <w:color w:val="000000"/>
          <w:spacing w:val="-11"/>
          <w:sz w:val="48"/>
          <w:szCs w:val="48"/>
          <w:lang w:eastAsia="en-GB"/>
        </w:rPr>
        <w:t xml:space="preserve"> Baden-Württemberg (LBBW)</w:t>
      </w:r>
    </w:p>
    <w:p w:rsidR="00FA3141" w:rsidRPr="00FA3141" w:rsidRDefault="00FA3141" w:rsidP="00FA3141">
      <w:pPr>
        <w:spacing w:after="360"/>
        <w:rPr>
          <w:rFonts w:ascii="Open Sans" w:eastAsia="Times New Roman" w:hAnsi="Open Sans" w:cs="Open Sans"/>
          <w:color w:val="000000"/>
          <w:sz w:val="21"/>
          <w:szCs w:val="21"/>
          <w:lang w:eastAsia="en-GB"/>
        </w:rPr>
      </w:pPr>
      <w:r w:rsidRPr="00FA3141">
        <w:rPr>
          <w:rFonts w:ascii="Open Sans" w:eastAsia="Times New Roman" w:hAnsi="Open Sans" w:cs="Open Sans"/>
          <w:color w:val="000000"/>
          <w:sz w:val="21"/>
          <w:szCs w:val="21"/>
          <w:lang w:eastAsia="en-GB"/>
        </w:rPr>
        <w:t>Razor is working with LBBW to deliver a global view of risk, bringing together multiple business lines into a consolidated view.</w:t>
      </w:r>
    </w:p>
    <w:p w:rsidR="00FA3141" w:rsidRPr="00FA3141" w:rsidRDefault="00FA3141" w:rsidP="00FA3141">
      <w:pPr>
        <w:spacing w:after="360"/>
        <w:rPr>
          <w:rFonts w:ascii="Open Sans" w:eastAsia="Times New Roman" w:hAnsi="Open Sans" w:cs="Open Sans"/>
          <w:color w:val="000000"/>
          <w:sz w:val="21"/>
          <w:szCs w:val="21"/>
          <w:lang w:eastAsia="en-GB"/>
        </w:rPr>
      </w:pPr>
      <w:proofErr w:type="spellStart"/>
      <w:r w:rsidRPr="00FA3141">
        <w:rPr>
          <w:rFonts w:ascii="Open Sans" w:eastAsia="Times New Roman" w:hAnsi="Open Sans" w:cs="Open Sans"/>
          <w:color w:val="000000"/>
          <w:sz w:val="21"/>
          <w:szCs w:val="21"/>
          <w:lang w:eastAsia="en-GB"/>
        </w:rPr>
        <w:t>Landesbank</w:t>
      </w:r>
      <w:proofErr w:type="spellEnd"/>
      <w:r w:rsidRPr="00FA3141">
        <w:rPr>
          <w:rFonts w:ascii="Open Sans" w:eastAsia="Times New Roman" w:hAnsi="Open Sans" w:cs="Open Sans"/>
          <w:color w:val="000000"/>
          <w:sz w:val="21"/>
          <w:szCs w:val="21"/>
          <w:lang w:eastAsia="en-GB"/>
        </w:rPr>
        <w:t xml:space="preserve"> Baden-Württemberg has total assets of around EUR 234 billion (as at 31 December 2015) and a staff of approx. 11,120 within the Group. Its head offices are located in Stuttgart, Karlsruhe, Mannheim and Mainz.</w:t>
      </w:r>
    </w:p>
    <w:p w:rsidR="00FA3141" w:rsidRPr="00FA3141" w:rsidRDefault="00FA3141" w:rsidP="00FA3141">
      <w:pPr>
        <w:spacing w:after="360"/>
        <w:rPr>
          <w:rFonts w:ascii="Open Sans" w:eastAsia="Times New Roman" w:hAnsi="Open Sans" w:cs="Open Sans"/>
          <w:color w:val="000000"/>
          <w:sz w:val="21"/>
          <w:szCs w:val="21"/>
          <w:lang w:eastAsia="en-GB"/>
        </w:rPr>
      </w:pPr>
      <w:r w:rsidRPr="00FA3141">
        <w:rPr>
          <w:rFonts w:ascii="Open Sans" w:eastAsia="Times New Roman" w:hAnsi="Open Sans" w:cs="Open Sans"/>
          <w:color w:val="000000"/>
          <w:sz w:val="21"/>
          <w:szCs w:val="21"/>
          <w:lang w:eastAsia="en-GB"/>
        </w:rPr>
        <w:t xml:space="preserve">Its three customer-driven banks – BW-Bank, LBBW </w:t>
      </w:r>
      <w:proofErr w:type="spellStart"/>
      <w:r w:rsidRPr="00FA3141">
        <w:rPr>
          <w:rFonts w:ascii="Open Sans" w:eastAsia="Times New Roman" w:hAnsi="Open Sans" w:cs="Open Sans"/>
          <w:color w:val="000000"/>
          <w:sz w:val="21"/>
          <w:szCs w:val="21"/>
          <w:lang w:eastAsia="en-GB"/>
        </w:rPr>
        <w:t>Rheinland</w:t>
      </w:r>
      <w:proofErr w:type="spellEnd"/>
      <w:r w:rsidRPr="00FA3141">
        <w:rPr>
          <w:rFonts w:ascii="Open Sans" w:eastAsia="Times New Roman" w:hAnsi="Open Sans" w:cs="Open Sans"/>
          <w:color w:val="000000"/>
          <w:sz w:val="21"/>
          <w:szCs w:val="21"/>
          <w:lang w:eastAsia="en-GB"/>
        </w:rPr>
        <w:t>-Pfalz Bank and LBBW Sachsen Bank – allow LBBW to offer the full array of business services provided by a large bank across Germany, while also drawing on extensive regional roots. Within the state capital Stuttgart, BW-Bank fulfils the role of a municipal savings bank for LBBW.</w:t>
      </w:r>
    </w:p>
    <w:p w:rsidR="00FA3141" w:rsidRPr="00FA3141" w:rsidRDefault="00FA3141" w:rsidP="00FA3141">
      <w:pPr>
        <w:spacing w:beforeAutospacing="1" w:after="48"/>
        <w:outlineLvl w:val="1"/>
        <w:rPr>
          <w:rFonts w:ascii="Muli" w:eastAsia="Times New Roman" w:hAnsi="Muli" w:cs="Open Sans"/>
          <w:color w:val="000000"/>
          <w:spacing w:val="-11"/>
          <w:sz w:val="48"/>
          <w:szCs w:val="48"/>
          <w:lang w:eastAsia="en-GB"/>
        </w:rPr>
      </w:pPr>
      <w:r w:rsidRPr="00FA3141">
        <w:rPr>
          <w:rFonts w:ascii="Muli" w:eastAsia="Times New Roman" w:hAnsi="Muli" w:cs="Open Sans"/>
          <w:color w:val="000000"/>
          <w:spacing w:val="-11"/>
          <w:sz w:val="48"/>
          <w:szCs w:val="48"/>
          <w:lang w:eastAsia="en-GB"/>
        </w:rPr>
        <w:t>Australia &amp; New Zealand Banking Group (ANZ)</w:t>
      </w:r>
    </w:p>
    <w:p w:rsidR="00FA3141" w:rsidRPr="00FA3141" w:rsidRDefault="00FA3141" w:rsidP="00FA3141">
      <w:pPr>
        <w:spacing w:after="360"/>
        <w:rPr>
          <w:rFonts w:ascii="Open Sans" w:eastAsia="Times New Roman" w:hAnsi="Open Sans" w:cs="Open Sans"/>
          <w:color w:val="000000"/>
          <w:sz w:val="21"/>
          <w:szCs w:val="21"/>
          <w:lang w:eastAsia="en-GB"/>
        </w:rPr>
      </w:pPr>
      <w:r w:rsidRPr="00FA3141">
        <w:rPr>
          <w:rFonts w:ascii="Open Sans" w:eastAsia="Times New Roman" w:hAnsi="Open Sans" w:cs="Open Sans"/>
          <w:color w:val="000000"/>
          <w:sz w:val="21"/>
          <w:szCs w:val="21"/>
          <w:lang w:eastAsia="en-GB"/>
        </w:rPr>
        <w:t xml:space="preserve">ANZ is a global Corporate and Personal </w:t>
      </w:r>
      <w:proofErr w:type="gramStart"/>
      <w:r w:rsidRPr="00FA3141">
        <w:rPr>
          <w:rFonts w:ascii="Open Sans" w:eastAsia="Times New Roman" w:hAnsi="Open Sans" w:cs="Open Sans"/>
          <w:color w:val="000000"/>
          <w:sz w:val="21"/>
          <w:szCs w:val="21"/>
          <w:lang w:eastAsia="en-GB"/>
        </w:rPr>
        <w:t>bank</w:t>
      </w:r>
      <w:proofErr w:type="gramEnd"/>
      <w:r w:rsidRPr="00FA3141">
        <w:rPr>
          <w:rFonts w:ascii="Open Sans" w:eastAsia="Times New Roman" w:hAnsi="Open Sans" w:cs="Open Sans"/>
          <w:color w:val="000000"/>
          <w:sz w:val="21"/>
          <w:szCs w:val="21"/>
          <w:lang w:eastAsia="en-GB"/>
        </w:rPr>
        <w:t xml:space="preserve"> Headquartered in Melbourne, Australia. Razor™ is used </w:t>
      </w:r>
      <w:proofErr w:type="spellStart"/>
      <w:r w:rsidRPr="00FA3141">
        <w:rPr>
          <w:rFonts w:ascii="Open Sans" w:eastAsia="Times New Roman" w:hAnsi="Open Sans" w:cs="Open Sans"/>
          <w:color w:val="000000"/>
          <w:sz w:val="21"/>
          <w:szCs w:val="21"/>
          <w:lang w:eastAsia="en-GB"/>
        </w:rPr>
        <w:t>gloally</w:t>
      </w:r>
      <w:proofErr w:type="spellEnd"/>
      <w:r w:rsidRPr="00FA3141">
        <w:rPr>
          <w:rFonts w:ascii="Open Sans" w:eastAsia="Times New Roman" w:hAnsi="Open Sans" w:cs="Open Sans"/>
          <w:color w:val="000000"/>
          <w:sz w:val="21"/>
          <w:szCs w:val="21"/>
          <w:lang w:eastAsia="en-GB"/>
        </w:rPr>
        <w:t xml:space="preserve"> by the Bank to monitor Counterparty </w:t>
      </w:r>
      <w:proofErr w:type="gramStart"/>
      <w:r w:rsidRPr="00FA3141">
        <w:rPr>
          <w:rFonts w:ascii="Open Sans" w:eastAsia="Times New Roman" w:hAnsi="Open Sans" w:cs="Open Sans"/>
          <w:color w:val="000000"/>
          <w:sz w:val="21"/>
          <w:szCs w:val="21"/>
          <w:lang w:eastAsia="en-GB"/>
        </w:rPr>
        <w:t>credit</w:t>
      </w:r>
      <w:proofErr w:type="gramEnd"/>
      <w:r w:rsidRPr="00FA3141">
        <w:rPr>
          <w:rFonts w:ascii="Open Sans" w:eastAsia="Times New Roman" w:hAnsi="Open Sans" w:cs="Open Sans"/>
          <w:color w:val="000000"/>
          <w:sz w:val="21"/>
          <w:szCs w:val="21"/>
          <w:lang w:eastAsia="en-GB"/>
        </w:rPr>
        <w:t xml:space="preserve"> Risk exposures. Some 3,000 staff in over 70 countries are connected to over 50 </w:t>
      </w:r>
      <w:proofErr w:type="gramStart"/>
      <w:r w:rsidRPr="00FA3141">
        <w:rPr>
          <w:rFonts w:ascii="Open Sans" w:eastAsia="Times New Roman" w:hAnsi="Open Sans" w:cs="Open Sans"/>
          <w:color w:val="000000"/>
          <w:sz w:val="21"/>
          <w:szCs w:val="21"/>
          <w:lang w:eastAsia="en-GB"/>
        </w:rPr>
        <w:t>front</w:t>
      </w:r>
      <w:proofErr w:type="gramEnd"/>
      <w:r w:rsidRPr="00FA3141">
        <w:rPr>
          <w:rFonts w:ascii="Open Sans" w:eastAsia="Times New Roman" w:hAnsi="Open Sans" w:cs="Open Sans"/>
          <w:color w:val="000000"/>
          <w:sz w:val="21"/>
          <w:szCs w:val="21"/>
          <w:lang w:eastAsia="en-GB"/>
        </w:rPr>
        <w:t>, middle and back office system within the bank through Razor™. Real-time pre-deal checks against a range of limits are undertaken to control all credit exposures for the bank’s Banking Book business.</w:t>
      </w:r>
    </w:p>
    <w:p w:rsidR="00FA3141" w:rsidRPr="00FA3141" w:rsidRDefault="00FA3141" w:rsidP="00FA3141">
      <w:pPr>
        <w:spacing w:beforeAutospacing="1" w:after="48"/>
        <w:outlineLvl w:val="1"/>
        <w:rPr>
          <w:rFonts w:ascii="Muli" w:eastAsia="Times New Roman" w:hAnsi="Muli" w:cs="Open Sans"/>
          <w:color w:val="000000"/>
          <w:spacing w:val="-11"/>
          <w:sz w:val="48"/>
          <w:szCs w:val="48"/>
          <w:lang w:eastAsia="en-GB"/>
        </w:rPr>
      </w:pPr>
      <w:r w:rsidRPr="00FA3141">
        <w:rPr>
          <w:rFonts w:ascii="Muli" w:eastAsia="Times New Roman" w:hAnsi="Muli" w:cs="Open Sans"/>
          <w:color w:val="000000"/>
          <w:spacing w:val="-11"/>
          <w:sz w:val="48"/>
          <w:szCs w:val="48"/>
          <w:lang w:eastAsia="en-GB"/>
        </w:rPr>
        <w:t>Australian Stock Exchange (ASX Clear)</w:t>
      </w:r>
    </w:p>
    <w:p w:rsidR="00FA3141" w:rsidRPr="00FA3141" w:rsidRDefault="00FA3141" w:rsidP="00FA3141">
      <w:pPr>
        <w:spacing w:after="360"/>
        <w:rPr>
          <w:rFonts w:ascii="Open Sans" w:eastAsia="Times New Roman" w:hAnsi="Open Sans" w:cs="Open Sans"/>
          <w:color w:val="000000"/>
          <w:sz w:val="21"/>
          <w:szCs w:val="21"/>
          <w:lang w:eastAsia="en-GB"/>
        </w:rPr>
      </w:pPr>
      <w:r w:rsidRPr="00FA3141">
        <w:rPr>
          <w:rFonts w:ascii="Open Sans" w:eastAsia="Times New Roman" w:hAnsi="Open Sans" w:cs="Open Sans"/>
          <w:color w:val="000000"/>
          <w:sz w:val="21"/>
          <w:szCs w:val="21"/>
          <w:lang w:eastAsia="en-GB"/>
        </w:rPr>
        <w:t xml:space="preserve">ASX is one of the 10 largest listed exchange groups globally. The ASX has a sophisticated set of risk policies following IOSCO best practice guidelines for managing Central Counterparty Clearing (CCP) risk in both normal and stressed markets. </w:t>
      </w:r>
      <w:proofErr w:type="gramStart"/>
      <w:r w:rsidRPr="00FA3141">
        <w:rPr>
          <w:rFonts w:ascii="Open Sans" w:eastAsia="Times New Roman" w:hAnsi="Open Sans" w:cs="Open Sans"/>
          <w:color w:val="000000"/>
          <w:sz w:val="21"/>
          <w:szCs w:val="21"/>
          <w:lang w:eastAsia="en-GB"/>
        </w:rPr>
        <w:t>Additionally</w:t>
      </w:r>
      <w:proofErr w:type="gramEnd"/>
      <w:r w:rsidRPr="00FA3141">
        <w:rPr>
          <w:rFonts w:ascii="Open Sans" w:eastAsia="Times New Roman" w:hAnsi="Open Sans" w:cs="Open Sans"/>
          <w:color w:val="000000"/>
          <w:sz w:val="21"/>
          <w:szCs w:val="21"/>
          <w:lang w:eastAsia="en-GB"/>
        </w:rPr>
        <w:t xml:space="preserve"> they have taken advantage of the flexible configuration of the Rules File within Razor™ to enable adherence to their risk policies. ASX Clear has successfully implemented Cash Market Margining as the initial margin methodology for the Australian cash equity market.</w:t>
      </w:r>
    </w:p>
    <w:p w:rsidR="00FA3141" w:rsidRPr="00FA3141" w:rsidRDefault="00FA3141" w:rsidP="00FA3141">
      <w:pPr>
        <w:spacing w:beforeAutospacing="1" w:after="48"/>
        <w:outlineLvl w:val="1"/>
        <w:rPr>
          <w:rFonts w:ascii="Muli" w:eastAsia="Times New Roman" w:hAnsi="Muli" w:cs="Open Sans"/>
          <w:color w:val="000000"/>
          <w:spacing w:val="-11"/>
          <w:sz w:val="48"/>
          <w:szCs w:val="48"/>
          <w:lang w:eastAsia="en-GB"/>
        </w:rPr>
      </w:pPr>
      <w:r w:rsidRPr="00FA3141">
        <w:rPr>
          <w:rFonts w:ascii="Muli" w:eastAsia="Times New Roman" w:hAnsi="Muli" w:cs="Open Sans"/>
          <w:color w:val="000000"/>
          <w:spacing w:val="-11"/>
          <w:sz w:val="48"/>
          <w:szCs w:val="48"/>
          <w:lang w:eastAsia="en-GB"/>
        </w:rPr>
        <w:t xml:space="preserve">PT </w:t>
      </w:r>
      <w:proofErr w:type="spellStart"/>
      <w:r w:rsidRPr="00FA3141">
        <w:rPr>
          <w:rFonts w:ascii="Muli" w:eastAsia="Times New Roman" w:hAnsi="Muli" w:cs="Open Sans"/>
          <w:color w:val="000000"/>
          <w:spacing w:val="-11"/>
          <w:sz w:val="48"/>
          <w:szCs w:val="48"/>
          <w:lang w:eastAsia="en-GB"/>
        </w:rPr>
        <w:t>Kliring</w:t>
      </w:r>
      <w:proofErr w:type="spellEnd"/>
      <w:r w:rsidRPr="00FA3141">
        <w:rPr>
          <w:rFonts w:ascii="Muli" w:eastAsia="Times New Roman" w:hAnsi="Muli" w:cs="Open Sans"/>
          <w:color w:val="000000"/>
          <w:spacing w:val="-11"/>
          <w:sz w:val="48"/>
          <w:szCs w:val="48"/>
          <w:lang w:eastAsia="en-GB"/>
        </w:rPr>
        <w:t xml:space="preserve"> </w:t>
      </w:r>
      <w:proofErr w:type="spellStart"/>
      <w:r w:rsidRPr="00FA3141">
        <w:rPr>
          <w:rFonts w:ascii="Muli" w:eastAsia="Times New Roman" w:hAnsi="Muli" w:cs="Open Sans"/>
          <w:color w:val="000000"/>
          <w:spacing w:val="-11"/>
          <w:sz w:val="48"/>
          <w:szCs w:val="48"/>
          <w:lang w:eastAsia="en-GB"/>
        </w:rPr>
        <w:t>Penjaminan</w:t>
      </w:r>
      <w:proofErr w:type="spellEnd"/>
      <w:r w:rsidRPr="00FA3141">
        <w:rPr>
          <w:rFonts w:ascii="Muli" w:eastAsia="Times New Roman" w:hAnsi="Muli" w:cs="Open Sans"/>
          <w:color w:val="000000"/>
          <w:spacing w:val="-11"/>
          <w:sz w:val="48"/>
          <w:szCs w:val="48"/>
          <w:lang w:eastAsia="en-GB"/>
        </w:rPr>
        <w:t xml:space="preserve"> </w:t>
      </w:r>
      <w:proofErr w:type="spellStart"/>
      <w:r w:rsidRPr="00FA3141">
        <w:rPr>
          <w:rFonts w:ascii="Muli" w:eastAsia="Times New Roman" w:hAnsi="Muli" w:cs="Open Sans"/>
          <w:color w:val="000000"/>
          <w:spacing w:val="-11"/>
          <w:sz w:val="48"/>
          <w:szCs w:val="48"/>
          <w:lang w:eastAsia="en-GB"/>
        </w:rPr>
        <w:t>Efek</w:t>
      </w:r>
      <w:proofErr w:type="spellEnd"/>
      <w:r w:rsidRPr="00FA3141">
        <w:rPr>
          <w:rFonts w:ascii="Muli" w:eastAsia="Times New Roman" w:hAnsi="Muli" w:cs="Open Sans"/>
          <w:color w:val="000000"/>
          <w:spacing w:val="-11"/>
          <w:sz w:val="48"/>
          <w:szCs w:val="48"/>
          <w:lang w:eastAsia="en-GB"/>
        </w:rPr>
        <w:t xml:space="preserve"> Indonesia (KPEI)</w:t>
      </w:r>
    </w:p>
    <w:p w:rsidR="00FA3141" w:rsidRPr="00FA3141" w:rsidRDefault="00FA3141" w:rsidP="00FA3141">
      <w:pPr>
        <w:spacing w:after="360"/>
        <w:rPr>
          <w:rFonts w:ascii="Open Sans" w:eastAsia="Times New Roman" w:hAnsi="Open Sans" w:cs="Open Sans"/>
          <w:color w:val="000000"/>
          <w:sz w:val="21"/>
          <w:szCs w:val="21"/>
          <w:lang w:eastAsia="en-GB"/>
        </w:rPr>
      </w:pPr>
      <w:r w:rsidRPr="00FA3141">
        <w:rPr>
          <w:rFonts w:ascii="Open Sans" w:eastAsia="Times New Roman" w:hAnsi="Open Sans" w:cs="Open Sans"/>
          <w:color w:val="000000"/>
          <w:sz w:val="21"/>
          <w:szCs w:val="21"/>
          <w:lang w:eastAsia="en-GB"/>
        </w:rPr>
        <w:t xml:space="preserve">KPEI is the Central Counterparty Clearing (CCP) for the Indonesian Stock Exchange (IDX). In that role, KPEI takes on the legal responsibility for meeting settlement on all transactions conducted through the IDX. By making use of the flexible configuration of the Rules File within Razor™, the CCP risk controllers can look at all of the exposures their Clearing Banks have at any one time, across many instrument types. They have integrated their SPAN </w:t>
      </w:r>
      <w:r w:rsidRPr="00FA3141">
        <w:rPr>
          <w:rFonts w:ascii="Open Sans" w:eastAsia="Times New Roman" w:hAnsi="Open Sans" w:cs="Open Sans"/>
          <w:color w:val="000000"/>
          <w:sz w:val="21"/>
          <w:szCs w:val="21"/>
          <w:lang w:eastAsia="en-GB"/>
        </w:rPr>
        <w:lastRenderedPageBreak/>
        <w:t>(Margin) calculation approach into the Razor™ system to provide full automation across their books of derivatives business.</w:t>
      </w:r>
    </w:p>
    <w:p w:rsidR="00FA3141" w:rsidRPr="00FA3141" w:rsidRDefault="00FA3141" w:rsidP="00FA3141">
      <w:pPr>
        <w:spacing w:beforeAutospacing="1" w:after="48"/>
        <w:outlineLvl w:val="1"/>
        <w:rPr>
          <w:rFonts w:ascii="Muli" w:eastAsia="Times New Roman" w:hAnsi="Muli" w:cs="Open Sans"/>
          <w:color w:val="000000"/>
          <w:spacing w:val="-11"/>
          <w:sz w:val="48"/>
          <w:szCs w:val="48"/>
          <w:lang w:eastAsia="en-GB"/>
        </w:rPr>
      </w:pPr>
      <w:proofErr w:type="spellStart"/>
      <w:r w:rsidRPr="00FA3141">
        <w:rPr>
          <w:rFonts w:ascii="Muli" w:eastAsia="Times New Roman" w:hAnsi="Muli" w:cs="Open Sans"/>
          <w:color w:val="000000"/>
          <w:spacing w:val="-11"/>
          <w:sz w:val="48"/>
          <w:szCs w:val="48"/>
          <w:lang w:eastAsia="en-GB"/>
        </w:rPr>
        <w:t>Winterflood</w:t>
      </w:r>
      <w:proofErr w:type="spellEnd"/>
      <w:r w:rsidRPr="00FA3141">
        <w:rPr>
          <w:rFonts w:ascii="Muli" w:eastAsia="Times New Roman" w:hAnsi="Muli" w:cs="Open Sans"/>
          <w:color w:val="000000"/>
          <w:spacing w:val="-11"/>
          <w:sz w:val="48"/>
          <w:szCs w:val="48"/>
          <w:lang w:eastAsia="en-GB"/>
        </w:rPr>
        <w:t xml:space="preserve"> Securities</w:t>
      </w:r>
    </w:p>
    <w:p w:rsidR="00FA3141" w:rsidRPr="00FA3141" w:rsidRDefault="00FA3141" w:rsidP="00FA3141">
      <w:pPr>
        <w:spacing w:after="360"/>
        <w:rPr>
          <w:rFonts w:ascii="Open Sans" w:eastAsia="Times New Roman" w:hAnsi="Open Sans" w:cs="Open Sans"/>
          <w:color w:val="000000"/>
          <w:sz w:val="21"/>
          <w:szCs w:val="21"/>
          <w:lang w:eastAsia="en-GB"/>
        </w:rPr>
      </w:pPr>
      <w:r w:rsidRPr="00FA3141">
        <w:rPr>
          <w:rFonts w:ascii="Open Sans" w:eastAsia="Times New Roman" w:hAnsi="Open Sans" w:cs="Open Sans"/>
          <w:color w:val="000000"/>
          <w:sz w:val="21"/>
          <w:szCs w:val="21"/>
          <w:lang w:eastAsia="en-GB"/>
        </w:rPr>
        <w:t xml:space="preserve">is a leading City of London based market maker offering execution services to retail brokers and institutional </w:t>
      </w:r>
      <w:proofErr w:type="gramStart"/>
      <w:r w:rsidRPr="00FA3141">
        <w:rPr>
          <w:rFonts w:ascii="Open Sans" w:eastAsia="Times New Roman" w:hAnsi="Open Sans" w:cs="Open Sans"/>
          <w:color w:val="000000"/>
          <w:sz w:val="21"/>
          <w:szCs w:val="21"/>
          <w:lang w:eastAsia="en-GB"/>
        </w:rPr>
        <w:t>clients.</w:t>
      </w:r>
      <w:proofErr w:type="gramEnd"/>
      <w:r w:rsidRPr="00FA3141">
        <w:rPr>
          <w:rFonts w:ascii="Open Sans" w:eastAsia="Times New Roman" w:hAnsi="Open Sans" w:cs="Open Sans"/>
          <w:color w:val="000000"/>
          <w:sz w:val="21"/>
          <w:szCs w:val="21"/>
          <w:lang w:eastAsia="en-GB"/>
        </w:rPr>
        <w:t xml:space="preserve"> They are committed to making two-way prices even in extreme adverse market conditions. It is their belief that technology led innovation is a solid path to the development of their company and have deployed Razor™ to provide detailed reporting of all market risk exposures for all of their trading desks using a range of techniques from </w:t>
      </w:r>
      <w:proofErr w:type="spellStart"/>
      <w:r w:rsidRPr="00FA3141">
        <w:rPr>
          <w:rFonts w:ascii="Open Sans" w:eastAsia="Times New Roman" w:hAnsi="Open Sans" w:cs="Open Sans"/>
          <w:color w:val="000000"/>
          <w:sz w:val="21"/>
          <w:szCs w:val="21"/>
          <w:lang w:eastAsia="en-GB"/>
        </w:rPr>
        <w:t>VaR</w:t>
      </w:r>
      <w:proofErr w:type="spellEnd"/>
      <w:r w:rsidRPr="00FA3141">
        <w:rPr>
          <w:rFonts w:ascii="Open Sans" w:eastAsia="Times New Roman" w:hAnsi="Open Sans" w:cs="Open Sans"/>
          <w:color w:val="000000"/>
          <w:sz w:val="21"/>
          <w:szCs w:val="21"/>
          <w:lang w:eastAsia="en-GB"/>
        </w:rPr>
        <w:t xml:space="preserve"> to Sensitivity Analysis.</w:t>
      </w:r>
    </w:p>
    <w:p w:rsidR="00FA3141" w:rsidRPr="00FA3141" w:rsidRDefault="00FA3141" w:rsidP="00FA3141">
      <w:pPr>
        <w:spacing w:beforeAutospacing="1" w:after="48"/>
        <w:outlineLvl w:val="1"/>
        <w:rPr>
          <w:rFonts w:ascii="Muli" w:eastAsia="Times New Roman" w:hAnsi="Muli" w:cs="Open Sans"/>
          <w:color w:val="000000"/>
          <w:spacing w:val="-11"/>
          <w:sz w:val="48"/>
          <w:szCs w:val="48"/>
          <w:lang w:eastAsia="en-GB"/>
        </w:rPr>
      </w:pPr>
      <w:r w:rsidRPr="00FA3141">
        <w:rPr>
          <w:rFonts w:ascii="Muli" w:eastAsia="Times New Roman" w:hAnsi="Muli" w:cs="Open Sans"/>
          <w:color w:val="000000"/>
          <w:spacing w:val="-11"/>
          <w:sz w:val="48"/>
          <w:szCs w:val="48"/>
          <w:lang w:eastAsia="en-GB"/>
        </w:rPr>
        <w:t>Treasury Corporation of Victoria</w:t>
      </w:r>
    </w:p>
    <w:p w:rsidR="00FA3141" w:rsidRPr="00FA3141" w:rsidRDefault="00FA3141" w:rsidP="00FA3141">
      <w:pPr>
        <w:spacing w:after="360"/>
        <w:rPr>
          <w:rFonts w:ascii="Open Sans" w:eastAsia="Times New Roman" w:hAnsi="Open Sans" w:cs="Open Sans"/>
          <w:color w:val="000000"/>
          <w:sz w:val="21"/>
          <w:szCs w:val="21"/>
          <w:lang w:eastAsia="en-GB"/>
        </w:rPr>
      </w:pPr>
      <w:r w:rsidRPr="00FA3141">
        <w:rPr>
          <w:rFonts w:ascii="Open Sans" w:eastAsia="Times New Roman" w:hAnsi="Open Sans" w:cs="Open Sans"/>
          <w:color w:val="000000"/>
          <w:sz w:val="21"/>
          <w:szCs w:val="21"/>
          <w:lang w:eastAsia="en-GB"/>
        </w:rPr>
        <w:t>TCV is the central financing authority for the State of Victoria, Australia. TCV are the interface between the State and the wholesale financial markets and provides tailored loans and financing, deposits, advisory and investment services to the State and State-related entities. Their loans are funded by the issue of government-guaranteed bonds in the domestic and international financial markets and deposits received from public authorities. Razor™ is used by the TCV Treasury and Risk functions to monitor Market Risk and report on the performance of all holdings.</w:t>
      </w:r>
    </w:p>
    <w:p w:rsidR="00FA3141" w:rsidRDefault="00FA3141"/>
    <w:sectPr w:rsidR="00FA3141" w:rsidSect="001877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uli">
    <w:panose1 w:val="00000500000000000000"/>
    <w:charset w:val="4D"/>
    <w:family w:val="auto"/>
    <w:pitch w:val="variable"/>
    <w:sig w:usb0="20000007" w:usb1="00000001" w:usb2="00000000" w:usb3="00000000" w:csb0="000001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41"/>
    <w:rsid w:val="00187714"/>
    <w:rsid w:val="00FA3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FE6C4-5B72-B145-9A76-7469A145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A314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14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A314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04971">
      <w:bodyDiv w:val="1"/>
      <w:marLeft w:val="0"/>
      <w:marRight w:val="0"/>
      <w:marTop w:val="0"/>
      <w:marBottom w:val="0"/>
      <w:divBdr>
        <w:top w:val="none" w:sz="0" w:space="0" w:color="auto"/>
        <w:left w:val="none" w:sz="0" w:space="0" w:color="auto"/>
        <w:bottom w:val="none" w:sz="0" w:space="0" w:color="auto"/>
        <w:right w:val="none" w:sz="0" w:space="0" w:color="auto"/>
      </w:divBdr>
      <w:divsChild>
        <w:div w:id="1764716168">
          <w:marLeft w:val="0"/>
          <w:marRight w:val="0"/>
          <w:marTop w:val="0"/>
          <w:marBottom w:val="0"/>
          <w:divBdr>
            <w:top w:val="none" w:sz="0" w:space="0" w:color="auto"/>
            <w:left w:val="none" w:sz="0" w:space="0" w:color="auto"/>
            <w:bottom w:val="none" w:sz="0" w:space="0" w:color="auto"/>
            <w:right w:val="none" w:sz="0" w:space="0" w:color="auto"/>
          </w:divBdr>
          <w:divsChild>
            <w:div w:id="757408977">
              <w:marLeft w:val="0"/>
              <w:marRight w:val="0"/>
              <w:marTop w:val="0"/>
              <w:marBottom w:val="0"/>
              <w:divBdr>
                <w:top w:val="none" w:sz="0" w:space="0" w:color="auto"/>
                <w:left w:val="none" w:sz="0" w:space="0" w:color="auto"/>
                <w:bottom w:val="none" w:sz="0" w:space="0" w:color="auto"/>
                <w:right w:val="none" w:sz="0" w:space="0" w:color="auto"/>
              </w:divBdr>
              <w:divsChild>
                <w:div w:id="15694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109">
          <w:marLeft w:val="0"/>
          <w:marRight w:val="0"/>
          <w:marTop w:val="0"/>
          <w:marBottom w:val="0"/>
          <w:divBdr>
            <w:top w:val="none" w:sz="0" w:space="0" w:color="auto"/>
            <w:left w:val="none" w:sz="0" w:space="0" w:color="auto"/>
            <w:bottom w:val="none" w:sz="0" w:space="0" w:color="auto"/>
            <w:right w:val="none" w:sz="0" w:space="0" w:color="auto"/>
          </w:divBdr>
          <w:divsChild>
            <w:div w:id="1941525202">
              <w:marLeft w:val="0"/>
              <w:marRight w:val="0"/>
              <w:marTop w:val="0"/>
              <w:marBottom w:val="0"/>
              <w:divBdr>
                <w:top w:val="none" w:sz="0" w:space="0" w:color="auto"/>
                <w:left w:val="none" w:sz="0" w:space="0" w:color="auto"/>
                <w:bottom w:val="none" w:sz="0" w:space="0" w:color="auto"/>
                <w:right w:val="none" w:sz="0" w:space="0" w:color="auto"/>
              </w:divBdr>
              <w:divsChild>
                <w:div w:id="589895378">
                  <w:marLeft w:val="0"/>
                  <w:marRight w:val="0"/>
                  <w:marTop w:val="0"/>
                  <w:marBottom w:val="0"/>
                  <w:divBdr>
                    <w:top w:val="none" w:sz="0" w:space="0" w:color="auto"/>
                    <w:left w:val="none" w:sz="0" w:space="0" w:color="auto"/>
                    <w:bottom w:val="none" w:sz="0" w:space="0" w:color="auto"/>
                    <w:right w:val="none" w:sz="0" w:space="0" w:color="auto"/>
                  </w:divBdr>
                  <w:divsChild>
                    <w:div w:id="21180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8708">
          <w:marLeft w:val="0"/>
          <w:marRight w:val="0"/>
          <w:marTop w:val="0"/>
          <w:marBottom w:val="0"/>
          <w:divBdr>
            <w:top w:val="none" w:sz="0" w:space="0" w:color="auto"/>
            <w:left w:val="none" w:sz="0" w:space="0" w:color="auto"/>
            <w:bottom w:val="none" w:sz="0" w:space="0" w:color="auto"/>
            <w:right w:val="none" w:sz="0" w:space="0" w:color="auto"/>
          </w:divBdr>
          <w:divsChild>
            <w:div w:id="1995597542">
              <w:marLeft w:val="0"/>
              <w:marRight w:val="0"/>
              <w:marTop w:val="0"/>
              <w:marBottom w:val="0"/>
              <w:divBdr>
                <w:top w:val="none" w:sz="0" w:space="0" w:color="auto"/>
                <w:left w:val="none" w:sz="0" w:space="0" w:color="auto"/>
                <w:bottom w:val="none" w:sz="0" w:space="0" w:color="auto"/>
                <w:right w:val="none" w:sz="0" w:space="0" w:color="auto"/>
              </w:divBdr>
              <w:divsChild>
                <w:div w:id="947201340">
                  <w:marLeft w:val="0"/>
                  <w:marRight w:val="0"/>
                  <w:marTop w:val="0"/>
                  <w:marBottom w:val="0"/>
                  <w:divBdr>
                    <w:top w:val="none" w:sz="0" w:space="0" w:color="auto"/>
                    <w:left w:val="none" w:sz="0" w:space="0" w:color="auto"/>
                    <w:bottom w:val="none" w:sz="0" w:space="0" w:color="auto"/>
                    <w:right w:val="none" w:sz="0" w:space="0" w:color="auto"/>
                  </w:divBdr>
                  <w:divsChild>
                    <w:div w:id="18910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3853">
          <w:marLeft w:val="0"/>
          <w:marRight w:val="0"/>
          <w:marTop w:val="0"/>
          <w:marBottom w:val="0"/>
          <w:divBdr>
            <w:top w:val="none" w:sz="0" w:space="0" w:color="auto"/>
            <w:left w:val="none" w:sz="0" w:space="0" w:color="auto"/>
            <w:bottom w:val="none" w:sz="0" w:space="0" w:color="auto"/>
            <w:right w:val="none" w:sz="0" w:space="0" w:color="auto"/>
          </w:divBdr>
          <w:divsChild>
            <w:div w:id="504827680">
              <w:marLeft w:val="0"/>
              <w:marRight w:val="0"/>
              <w:marTop w:val="0"/>
              <w:marBottom w:val="0"/>
              <w:divBdr>
                <w:top w:val="none" w:sz="0" w:space="0" w:color="auto"/>
                <w:left w:val="none" w:sz="0" w:space="0" w:color="auto"/>
                <w:bottom w:val="none" w:sz="0" w:space="0" w:color="auto"/>
                <w:right w:val="none" w:sz="0" w:space="0" w:color="auto"/>
              </w:divBdr>
              <w:divsChild>
                <w:div w:id="1157041580">
                  <w:marLeft w:val="0"/>
                  <w:marRight w:val="0"/>
                  <w:marTop w:val="0"/>
                  <w:marBottom w:val="0"/>
                  <w:divBdr>
                    <w:top w:val="none" w:sz="0" w:space="0" w:color="auto"/>
                    <w:left w:val="none" w:sz="0" w:space="0" w:color="auto"/>
                    <w:bottom w:val="none" w:sz="0" w:space="0" w:color="auto"/>
                    <w:right w:val="none" w:sz="0" w:space="0" w:color="auto"/>
                  </w:divBdr>
                  <w:divsChild>
                    <w:div w:id="7853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87783">
          <w:marLeft w:val="0"/>
          <w:marRight w:val="0"/>
          <w:marTop w:val="0"/>
          <w:marBottom w:val="0"/>
          <w:divBdr>
            <w:top w:val="none" w:sz="0" w:space="0" w:color="auto"/>
            <w:left w:val="none" w:sz="0" w:space="0" w:color="auto"/>
            <w:bottom w:val="none" w:sz="0" w:space="0" w:color="auto"/>
            <w:right w:val="none" w:sz="0" w:space="0" w:color="auto"/>
          </w:divBdr>
          <w:divsChild>
            <w:div w:id="297682734">
              <w:marLeft w:val="0"/>
              <w:marRight w:val="0"/>
              <w:marTop w:val="0"/>
              <w:marBottom w:val="0"/>
              <w:divBdr>
                <w:top w:val="none" w:sz="0" w:space="0" w:color="auto"/>
                <w:left w:val="none" w:sz="0" w:space="0" w:color="auto"/>
                <w:bottom w:val="none" w:sz="0" w:space="0" w:color="auto"/>
                <w:right w:val="none" w:sz="0" w:space="0" w:color="auto"/>
              </w:divBdr>
              <w:divsChild>
                <w:div w:id="1899513698">
                  <w:marLeft w:val="0"/>
                  <w:marRight w:val="0"/>
                  <w:marTop w:val="0"/>
                  <w:marBottom w:val="0"/>
                  <w:divBdr>
                    <w:top w:val="none" w:sz="0" w:space="0" w:color="auto"/>
                    <w:left w:val="none" w:sz="0" w:space="0" w:color="auto"/>
                    <w:bottom w:val="none" w:sz="0" w:space="0" w:color="auto"/>
                    <w:right w:val="none" w:sz="0" w:space="0" w:color="auto"/>
                  </w:divBdr>
                  <w:divsChild>
                    <w:div w:id="18743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87337">
          <w:marLeft w:val="0"/>
          <w:marRight w:val="0"/>
          <w:marTop w:val="0"/>
          <w:marBottom w:val="0"/>
          <w:divBdr>
            <w:top w:val="none" w:sz="0" w:space="0" w:color="auto"/>
            <w:left w:val="none" w:sz="0" w:space="0" w:color="auto"/>
            <w:bottom w:val="none" w:sz="0" w:space="0" w:color="auto"/>
            <w:right w:val="none" w:sz="0" w:space="0" w:color="auto"/>
          </w:divBdr>
          <w:divsChild>
            <w:div w:id="1374959163">
              <w:marLeft w:val="0"/>
              <w:marRight w:val="0"/>
              <w:marTop w:val="0"/>
              <w:marBottom w:val="0"/>
              <w:divBdr>
                <w:top w:val="none" w:sz="0" w:space="0" w:color="auto"/>
                <w:left w:val="none" w:sz="0" w:space="0" w:color="auto"/>
                <w:bottom w:val="none" w:sz="0" w:space="0" w:color="auto"/>
                <w:right w:val="none" w:sz="0" w:space="0" w:color="auto"/>
              </w:divBdr>
              <w:divsChild>
                <w:div w:id="1940985129">
                  <w:marLeft w:val="0"/>
                  <w:marRight w:val="0"/>
                  <w:marTop w:val="0"/>
                  <w:marBottom w:val="0"/>
                  <w:divBdr>
                    <w:top w:val="none" w:sz="0" w:space="0" w:color="auto"/>
                    <w:left w:val="none" w:sz="0" w:space="0" w:color="auto"/>
                    <w:bottom w:val="none" w:sz="0" w:space="0" w:color="auto"/>
                    <w:right w:val="none" w:sz="0" w:space="0" w:color="auto"/>
                  </w:divBdr>
                  <w:divsChild>
                    <w:div w:id="1298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90556">
          <w:marLeft w:val="0"/>
          <w:marRight w:val="0"/>
          <w:marTop w:val="0"/>
          <w:marBottom w:val="0"/>
          <w:divBdr>
            <w:top w:val="none" w:sz="0" w:space="0" w:color="auto"/>
            <w:left w:val="none" w:sz="0" w:space="0" w:color="auto"/>
            <w:bottom w:val="none" w:sz="0" w:space="0" w:color="auto"/>
            <w:right w:val="none" w:sz="0" w:space="0" w:color="auto"/>
          </w:divBdr>
          <w:divsChild>
            <w:div w:id="510800238">
              <w:marLeft w:val="0"/>
              <w:marRight w:val="0"/>
              <w:marTop w:val="0"/>
              <w:marBottom w:val="0"/>
              <w:divBdr>
                <w:top w:val="none" w:sz="0" w:space="0" w:color="auto"/>
                <w:left w:val="none" w:sz="0" w:space="0" w:color="auto"/>
                <w:bottom w:val="none" w:sz="0" w:space="0" w:color="auto"/>
                <w:right w:val="none" w:sz="0" w:space="0" w:color="auto"/>
              </w:divBdr>
              <w:divsChild>
                <w:div w:id="1908610007">
                  <w:marLeft w:val="0"/>
                  <w:marRight w:val="0"/>
                  <w:marTop w:val="0"/>
                  <w:marBottom w:val="0"/>
                  <w:divBdr>
                    <w:top w:val="none" w:sz="0" w:space="0" w:color="auto"/>
                    <w:left w:val="none" w:sz="0" w:space="0" w:color="auto"/>
                    <w:bottom w:val="none" w:sz="0" w:space="0" w:color="auto"/>
                    <w:right w:val="none" w:sz="0" w:space="0" w:color="auto"/>
                  </w:divBdr>
                  <w:divsChild>
                    <w:div w:id="1517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Hodgson</dc:creator>
  <cp:keywords/>
  <dc:description/>
  <cp:lastModifiedBy>Bill Hodgson</cp:lastModifiedBy>
  <cp:revision>1</cp:revision>
  <dcterms:created xsi:type="dcterms:W3CDTF">2018-02-12T13:58:00Z</dcterms:created>
  <dcterms:modified xsi:type="dcterms:W3CDTF">2018-02-12T13:58:00Z</dcterms:modified>
</cp:coreProperties>
</file>